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bookmarkStart w:id="0" w:name="_GoBack"/>
      <w:r w:rsidRPr="00EC46D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>Jakie są zasady postępowania z pacjentem z podejrzeniem zakażenia SARS-CoV-2?</w:t>
      </w:r>
    </w:p>
    <w:bookmarkEnd w:id="0"/>
    <w:p w:rsidR="00EC46DE" w:rsidRPr="00EC46DE" w:rsidRDefault="00EC46DE" w:rsidP="00EC4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4"/>
          <w:szCs w:val="14"/>
          <w:lang w:eastAsia="pl-PL"/>
        </w:rPr>
      </w:pPr>
      <w:r w:rsidRPr="00EC46DE">
        <w:rPr>
          <w:rFonts w:ascii="Verdana" w:eastAsia="Times New Roman" w:hAnsi="Verdana" w:cs="Times New Roman"/>
          <w:color w:val="777777"/>
          <w:sz w:val="14"/>
          <w:szCs w:val="14"/>
          <w:lang w:eastAsia="pl-PL"/>
        </w:rPr>
        <w:t>09.03.2020</w:t>
      </w:r>
    </w:p>
    <w:p w:rsidR="00EC46DE" w:rsidRPr="00EC46DE" w:rsidRDefault="00EC46DE" w:rsidP="00EC46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dr n. med. Weronika Rymer</w:t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1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, dr n. med. Agnieszka Wroczyńska</w:t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2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, dr n. med. Agnieszka Matkowska-Kocjan</w:t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3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1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Katedra i Klinika Chorób Zakaźnych, Chorób Wątroby i Nabytych Niedoborów Odpornościowych, Uniwersytet Medyczny we Wrocławiu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2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Klinika Chorób Tropikalnych i Pasożytniczych, Instytut Medycyny Morskiej i Tropikalnej w Gdyni, Gdański Uniwersytet Medyczny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</w:r>
      <w:r w:rsidRPr="00EC46DE">
        <w:rPr>
          <w:rFonts w:ascii="Verdana" w:eastAsia="Times New Roman" w:hAnsi="Verdana" w:cs="Times New Roman"/>
          <w:color w:val="000000"/>
          <w:sz w:val="8"/>
          <w:szCs w:val="8"/>
          <w:vertAlign w:val="superscript"/>
          <w:lang w:eastAsia="pl-PL"/>
        </w:rPr>
        <w:t>3</w:t>
      </w:r>
      <w:r w:rsidRPr="00EC46D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Klinika Pediatrii i Chorób Infekcyjnych, Uniwersytet Medyczny im. Piastów Śląskich we Wrocławiu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EC46DE">
        <w:rPr>
          <w:rFonts w:ascii="Arial" w:eastAsia="Times New Roman" w:hAnsi="Arial" w:cs="Arial"/>
          <w:b/>
          <w:bCs/>
          <w:color w:val="333333"/>
          <w:sz w:val="10"/>
          <w:szCs w:val="10"/>
          <w:lang w:eastAsia="pl-PL"/>
        </w:rPr>
        <w:t>Jak cytować:</w:t>
      </w:r>
      <w:r w:rsidRPr="00EC46DE">
        <w:rPr>
          <w:rFonts w:ascii="Arial" w:eastAsia="Times New Roman" w:hAnsi="Arial" w:cs="Arial"/>
          <w:color w:val="333333"/>
          <w:sz w:val="10"/>
          <w:szCs w:val="10"/>
          <w:lang w:eastAsia="pl-PL"/>
        </w:rPr>
        <w:t xml:space="preserve"> Rymer W., Wroczyńska A., Matkowska-Kocjan A.: COVID-19 – aktualny stan wiedzy. Med. </w:t>
      </w:r>
      <w:proofErr w:type="spellStart"/>
      <w:r w:rsidRPr="00EC46DE">
        <w:rPr>
          <w:rFonts w:ascii="Arial" w:eastAsia="Times New Roman" w:hAnsi="Arial" w:cs="Arial"/>
          <w:color w:val="333333"/>
          <w:sz w:val="10"/>
          <w:szCs w:val="10"/>
          <w:lang w:eastAsia="pl-PL"/>
        </w:rPr>
        <w:t>Prakt</w:t>
      </w:r>
      <w:proofErr w:type="spellEnd"/>
      <w:r w:rsidRPr="00EC46DE">
        <w:rPr>
          <w:rFonts w:ascii="Arial" w:eastAsia="Times New Roman" w:hAnsi="Arial" w:cs="Arial"/>
          <w:color w:val="333333"/>
          <w:sz w:val="10"/>
          <w:szCs w:val="10"/>
          <w:lang w:eastAsia="pl-PL"/>
        </w:rPr>
        <w:t>., 2020; 3: 102–121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31"/>
          <w:szCs w:val="32"/>
          <w:lang w:eastAsia="pl-PL"/>
        </w:rPr>
      </w:pPr>
      <w:r w:rsidRPr="00EC46DE">
        <w:rPr>
          <w:rFonts w:ascii="inherit" w:eastAsia="Times New Roman" w:hAnsi="inherit" w:cs="Times New Roman"/>
          <w:color w:val="000000"/>
          <w:sz w:val="31"/>
          <w:szCs w:val="32"/>
          <w:lang w:eastAsia="pl-PL"/>
        </w:rPr>
        <w:t>Jakie są zasady postępowania z pacjentem z podejrzeniem zakażenia SARS-CoV-2?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t>WHO zaleca stałe śledzenie sytuacji epidemiologicznej zakażenia SARS-CoV-2 i informowanie pracowników zakładów opieki zdrowotnej, a także promowanie higieny rąk i higieny oddechowej u osób z objawami zakażenia układu oddechowego. 27 lutego GIS poinformował szpitale, że osoby spełniające kryteria podejrzenia zakażenia SARS-CoV-2 powinno się leczyć w warunkach oddziału zakaźnego lub obserwacyjno-zakaźnego. W przypadku gdy pacjent z objawami zakażenia układu oddechowego zgłosi się do izby przyjęć lub szpitalnego oddziału ratunkowego szpitala ogólnego, należy od razu wdrożyć działania zapobiegające zakażeniu innych osób, w tym personelu medycznego (dotyczy to każdej osoby zatrudnionej w placówce medycznej, która może mieć kontakt z chorym, w tym osób pracujących w rejestracji, salowych, sanitariuszy itp.). Pomocne jest tu wczesne wychwycenie potencjalnie zakażonej osoby. Opieka nad chorymi z objawami klinicznymi powinna być priorytetowa, ponieważ nie powinni oni oczekiwać na kontakt z lekarzem w kolejce z innymi osobami.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W szpitalach powinny się znajdować plakaty informacyjne dla pacjentów wskazujące im drogi komunikacji. Jeśli to możliwe, wskazane jest stworzenie osobnej ścieżki dla pacjentów z objawami zakażenia układu oddechowego, poza głównym traktem przyjęć do szpitala, a jeśli to niemożliwe – wydzielenie osobnego okienka rejestracyjnego. Koordynacją ruchu pacjentów powinna się zajmować wyznaczona do tego osoba. Już przy pierwszym kontakcie z pacjentem należy ustalić, czy występują u niego objawy zakażenia układu oddechowego, a jeśli tak – niezwłocznie powinien on założyć maskę. Personel rejestracji, który nie powinien mieć bezpośredniego kontaktu twarzą w twarz z pacjentem (tylko np. przez szybę działową, za pośrednictwem komunikatora głosowego), powinien go zapytać o objawy kliniczne i o to, czy przebywał w krajach transmisji SARS-CoV-2. Pacjenta, który spełni kryteria definicji przypadku (ramka 3), powinno się niezwłocznie umieścić w oddzielnym pomieszczeniu (najlepiej z toaletą), wyposażonym w środki ochrony osobistej, termometr, </w:t>
      </w:r>
      <w:proofErr w:type="spellStart"/>
      <w:r w:rsidRPr="00EC46DE">
        <w:rPr>
          <w:rFonts w:ascii="Verdana" w:eastAsia="Times New Roman" w:hAnsi="Verdana" w:cs="Times New Roman"/>
          <w:color w:val="333333"/>
          <w:lang w:eastAsia="pl-PL"/>
        </w:rPr>
        <w:t>pulsoksymetr</w:t>
      </w:r>
      <w:proofErr w:type="spellEnd"/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 i dostęp do gazów oraz umożliwiającym pobieranie krwi i wymazów oraz przeprowadzenie diagnostyki radiologicznej. W pomieszczeniu powinien się też znajdować zestaw do resuscytacji oraz (opcjonalnie) aparat EKG i kardiomonitor. Pacjenta należy poinformować o tym, że nie może opuszczać izolatki i musi nosić maseczkę chirurgiczną. Maseczkę można nosić maksymalnie przez godzinę, po czym należy ją wyrzucić do odpadów zakaźnych i zastąpić świeżą.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t>Pacjentów należy pouczyć o zasadach higieny układu oddechowego i rąk oraz zapewnić im dostęp do łatwej dekontaminacji rąk.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lastRenderedPageBreak/>
        <w:t>Po umieszczeniu pacjenta w izolatce lekarz powinien dokonać oceny stanu klinicznego i ustalić wskazania do hospitalizacji. Jeśli na podstawie badania przedmiotowego nie stwierdza się u pacjenta z podejrzeniem zakażenia układu oddechowego wskazań do natychmiastowej hospitalizacji, powinno się przeprowadzić podstawową diagnostykę: badanie morfologii krwi z rozmazem, oznaczenie białka C-reaktywnego i </w:t>
      </w:r>
      <w:proofErr w:type="spellStart"/>
      <w:r w:rsidRPr="00EC46DE">
        <w:rPr>
          <w:rFonts w:ascii="Verdana" w:eastAsia="Times New Roman" w:hAnsi="Verdana" w:cs="Times New Roman"/>
          <w:color w:val="333333"/>
          <w:lang w:eastAsia="pl-PL"/>
        </w:rPr>
        <w:t>aminotransferaz</w:t>
      </w:r>
      <w:proofErr w:type="spellEnd"/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 w surowicy, RTG klatki piersiowej, pomiar wysycenia hemoglobiny tlenem (zwłaszcza u dzieci) oraz testy w kierunku grypy i innych patogenów oddechowych. Jeśli po wykonaniu badań nadal nie ma wskazań do hospitalizacji, należy odesłać pacjenta do domu i objąć dalszą opieką w placówce podstawowej opieki zdrowotnej. W razie stwierdzenia wskazań do hospitalizacji pacjent powinien zostać przewieziony do wyznaczonego oddziału zakaźnego. O transporcie chorego należy uprzedzić szpital zakaźny lub ewentualnie lekarza koordynatora zabezpieczenia medycznego z Urzędu Wojewódzkiego. Należy też niezwłocznie zgłosić przypadek do Państwowego Powiatowego Inspektora Sanitarnego właściwego dla miejsca, gdzie wysunięto podejrzenie zakażenia SARS-CoV-2.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t>W czasie oczekiwania na transport sanitarny chory nie powinien przebywać w jednym pomieszczeniu z innymi pacjentami (wskazana jest izolacja, w przypadku kohortacji kilku chorych wszyscy pacjenci przebywający w pomieszczeniu powinni mieć założone maseczki).</w:t>
      </w:r>
    </w:p>
    <w:p w:rsidR="00EC46DE" w:rsidRPr="00EC46DE" w:rsidRDefault="00EC46DE" w:rsidP="00EC46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color w:val="333333"/>
          <w:lang w:eastAsia="pl-PL"/>
        </w:rPr>
        <w:t>Podczas opieki nad pacjentem z podejrzeniem zakażenia SARS-CoV-2 należy jeszcze przed wykonaniem badań diagnostycznych wdrożyć metody profilaktyki zakażeń przenoszonych drogą kropelkową i kontaktową, a w razie konieczności wykonania procedur, w których dochodzi do powstania aerozolu, również powietrzną.</w:t>
      </w:r>
    </w:p>
    <w:p w:rsidR="00EC46DE" w:rsidRPr="00EC46DE" w:rsidRDefault="00EC46DE" w:rsidP="00EC46DE">
      <w:pPr>
        <w:shd w:val="clear" w:color="auto" w:fill="FFFFFF"/>
        <w:spacing w:after="2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EC46DE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Ramka 3</w:t>
      </w:r>
    </w:p>
    <w:p w:rsidR="00EC46DE" w:rsidRPr="00EC46DE" w:rsidRDefault="00EC46DE" w:rsidP="00EC46D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pl-PL"/>
        </w:rPr>
      </w:pP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Definicja przypadku na potrzeby nadzoru epidemiologicznego nad zakażeniami SARS-CoV-2 (zgodnie z informacją GIS dla szpitali z dnia 27.02.2020)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1. Kryteria kliniczne</w:t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br/>
        <w:t>Grupa A. Kryteria wymagające dodatkowo spełnienia kryterium epidemiologicznego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Każda osoba, u której wystąpił co najmniej jeden z wymienionych objawów ostrej infekcji układu oddechowego: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1) gorączka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2) kaszel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3) duszność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Grupa B. Kryteria niewymagające spełnienia kryterium epidemiologicznego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1) osoba hospitalizowana, diagnozowana w kierunku wirusowego zapalenia płuc lub z objawami ciężkiej infekcji układu oddechowego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2) osoba należąca do ogniska/klastra wirusowego zapalenia płuc o nieznanej etiologii.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2. Kryteria epidemiologiczne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Każda osoba, która w okresie 14 dni przed wystąpieniem objawów spełniała co najmniej jedno z następujących kryteriów: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1) miała bliski kontakt z osobą, u której stwierdzono zakażenie COVID-19 (kontakt z przypadkiem potwierdzonym lub prawdopodobnym). Jako bliski kontakt należy rozumieć: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a) zamieszkiwanie z przypadkiem COVID-19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b) bezpośredni kontakt fizyczny z przypadkiem COVID-19 (np. podanie ręki)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 xml:space="preserve">   c) bezpośredni kontakt bez zabezpieczenia z wydzielinami osoby z COVID-19 (np. 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lastRenderedPageBreak/>
        <w:t>dotykanie zużytej chusteczki higienicznej, narażenie na kaszel osoby chorej)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d) przebywanie w bezpośredniej bliskości (twarzą w twarz) osoby chorej, w odległości mniejszej niż 2 metry przez co najmniej 15 minut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e) przebywanie w tym samym pomieszczeniu co osoba chora na COVID-19 w odległości mniejszej niż 2 metry przez co najmniej 15 minut (np. w klasie, poczekalni szpitala/przychodni, sali konferencyjnej)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f) kontakt personelu medycznego lub innej osoby bezpośrednio opiekującej się chorym na COVID-19 lub osoby pracującej w laboratorium bezpośrednio z próbkami osób chorych na COVID-19 bez odpowiedniego zabezpieczenia lub jeśli doszło do uszkodzenia stosowanych środków ochrony osobistej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   g) kontakt na pokładzie samolotu i innych zbiorowych środków transportu obejmujący osoby zajmujące kolejne 2 miejsca (w każdym kierunku) od osoby z COVID-19, osoby towarzyszące w podróży lub sprawujące opiekę nad chorymi z COVID-19, członkowie załogi obsługujący sekcję, w której znajduje się chory (w przypadku ciężkich objawów u osoby z COVID-19 lub jej przemieszczania się za bliski kontakt należy uznać wszystkich pasażerów znajdujących się w sekcji lub na pokładzie środka transportu)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2) podróżowała/przebywała w regionie, w którym podejrzewa się utrzymującą się szeroko rozpowszechnioną transmisję COVID-19</w:t>
      </w:r>
      <w:r w:rsidRPr="00EC46D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pl-PL"/>
        </w:rPr>
        <w:t>a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3) powróciła z obszaru, w którym podejrzewa się lokalną lub o małym stopniu rozpowszechnienia transmisję COVID-19, a jej stan kliniczny został oceniony przez lekarza jako wymagający diagnostyki w kierunku COVID-19.</w:t>
      </w:r>
      <w:r w:rsidRPr="00EC46D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pl-PL"/>
        </w:rPr>
        <w:t>a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3. Kryteria laboratoryjne</w:t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br/>
        <w:t>Kryteria laboratoryjne przypadku potwierdzonego: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 wykrycie kwasu nukleinowego COVID-19 z materiału </w:t>
      </w:r>
      <w:proofErr w:type="spellStart"/>
      <w:r w:rsidRPr="00EC46DE">
        <w:rPr>
          <w:rFonts w:ascii="Verdana" w:eastAsia="Times New Roman" w:hAnsi="Verdana" w:cs="Times New Roman"/>
          <w:color w:val="333333"/>
          <w:lang w:eastAsia="pl-PL"/>
        </w:rPr>
        <w:t>klinicznegob</w:t>
      </w:r>
      <w:proofErr w:type="spellEnd"/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 potwierdzone badaniem molekularnym ukierunkowanym na inny obszar genomu </w:t>
      </w:r>
      <w:proofErr w:type="spellStart"/>
      <w:r w:rsidRPr="00EC46DE">
        <w:rPr>
          <w:rFonts w:ascii="Verdana" w:eastAsia="Times New Roman" w:hAnsi="Verdana" w:cs="Times New Roman"/>
          <w:color w:val="333333"/>
          <w:lang w:eastAsia="pl-PL"/>
        </w:rPr>
        <w:t>wirusa.</w:t>
      </w:r>
      <w:r w:rsidRPr="00EC46D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pl-PL"/>
        </w:rPr>
        <w:t>c</w:t>
      </w:r>
      <w:proofErr w:type="spellEnd"/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Kryteria laboratoryjne przypadku prawdopodobnego: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> co najmniej jedno z następujących kryteriów: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 xml:space="preserve">1) dodatni wynik testu w kierunku obecności </w:t>
      </w:r>
      <w:proofErr w:type="spellStart"/>
      <w:r w:rsidRPr="00EC46DE">
        <w:rPr>
          <w:rFonts w:ascii="Verdana" w:eastAsia="Times New Roman" w:hAnsi="Verdana" w:cs="Times New Roman"/>
          <w:color w:val="333333"/>
          <w:lang w:eastAsia="pl-PL"/>
        </w:rPr>
        <w:t>koronawirusów</w:t>
      </w:r>
      <w:proofErr w:type="spellEnd"/>
      <w:r w:rsidRPr="00EC46DE">
        <w:rPr>
          <w:rFonts w:ascii="Verdana" w:eastAsia="Times New Roman" w:hAnsi="Verdana" w:cs="Times New Roman"/>
          <w:color w:val="333333"/>
          <w:lang w:eastAsia="pl-PL"/>
        </w:rPr>
        <w:t xml:space="preserve"> (</w:t>
      </w:r>
      <w:r w:rsidRPr="00EC46DE">
        <w:rPr>
          <w:rFonts w:ascii="Verdana" w:eastAsia="Times New Roman" w:hAnsi="Verdana" w:cs="Times New Roman"/>
          <w:i/>
          <w:iCs/>
          <w:color w:val="333333"/>
          <w:lang w:eastAsia="pl-PL"/>
        </w:rPr>
        <w:t>pan-</w:t>
      </w:r>
      <w:proofErr w:type="spellStart"/>
      <w:r w:rsidRPr="00EC46DE">
        <w:rPr>
          <w:rFonts w:ascii="Verdana" w:eastAsia="Times New Roman" w:hAnsi="Verdana" w:cs="Times New Roman"/>
          <w:i/>
          <w:iCs/>
          <w:color w:val="333333"/>
          <w:lang w:eastAsia="pl-PL"/>
        </w:rPr>
        <w:t>coronavirus</w:t>
      </w:r>
      <w:proofErr w:type="spellEnd"/>
      <w:r w:rsidRPr="00EC46DE">
        <w:rPr>
          <w:rFonts w:ascii="Verdana" w:eastAsia="Times New Roman" w:hAnsi="Verdana" w:cs="Times New Roman"/>
          <w:i/>
          <w:iCs/>
          <w:color w:val="333333"/>
          <w:lang w:eastAsia="pl-PL"/>
        </w:rPr>
        <w:t xml:space="preserve"> test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>)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  <w:t>2) niejednoznaczny wynik badania wykrywającego kwas nukleinowy COVID-19.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4. Klasyfikacja przypadku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Podejrzenie przypadku: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> każda osoba spełniająca kryterium kliniczne grupy A i kryterium epidemiologiczne lub spełniająca kryterium kliniczne grupy B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Przypadek prawdopodobny: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> każda osoba spełniająca kryteria podejrzenia przypadku oraz kryteria laboratoryjne przypadku prawdopodobnego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b/>
          <w:bCs/>
          <w:color w:val="333333"/>
          <w:lang w:eastAsia="pl-PL"/>
        </w:rPr>
        <w:t>Przypadek potwierdzony: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t> każda osoba spełniająca kryteria laboratoryjne przypadku potwierdzonego. Spełnienie kryteriów podejrzenia przypadku jest wskazaniem do przeprowadzenia diagnostyki laboratoryjnej.</w:t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Verdana" w:eastAsia="Times New Roman" w:hAnsi="Verdana" w:cs="Times New Roman"/>
          <w:color w:val="333333"/>
          <w:lang w:eastAsia="pl-PL"/>
        </w:rPr>
        <w:br/>
      </w:r>
      <w:r w:rsidRPr="00EC46DE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pl-PL"/>
        </w:rPr>
        <w:t>a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Informacje o krajach/regionach z utrzymującą się transmisją COVID-19 są dostępne w serwisach internetowych ECDC (są również na bieżąco aktualizowane w serwisie infekcje.mp.pl – przyp. red.).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C46DE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pl-PL"/>
        </w:rPr>
        <w:t>b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 Próbki materiału klinicznego z dolnych dróg oddechowych (popłuczyny oskrzelowo-pęcherzykowe [BAL], </w:t>
      </w:r>
      <w:proofErr w:type="spellStart"/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bronchoaspirat</w:t>
      </w:r>
      <w:proofErr w:type="spellEnd"/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odkrztuszana plwocina) mają większą wartość diagnostyczną niż próbki z górnych dróg oddechowych (np. wymaz z </w:t>
      </w:r>
      <w:proofErr w:type="spellStart"/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nosogardła</w:t>
      </w:r>
      <w:proofErr w:type="spellEnd"/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).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C46DE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pl-PL"/>
        </w:rPr>
        <w:t>c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Jeżeli to możliwe, należy wykonać sekwencjonowanie.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C46D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Od Redakcji:</w:t>
      </w:r>
      <w:r w:rsidRPr="00EC46D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Określenie „przypadek COVID-19” zgodnie z wytycznymi ECDC dotyczy osoby, u której potwierdzono zakażenie wirusem SARS-CoV-2, niezależnie od wystąpienia objawów chorobowych COVID-19. Szczegółowe kryteria bliskiego kontaktu z osobą zakażoną wirusem SARS-CoV-2 podają także </w:t>
      </w:r>
      <w:hyperlink r:id="rId5" w:tgtFrame="_blank" w:history="1">
        <w:r w:rsidRPr="00EC46DE">
          <w:rPr>
            <w:rFonts w:ascii="Arial" w:eastAsia="Times New Roman" w:hAnsi="Arial" w:cs="Arial"/>
            <w:color w:val="00477F"/>
            <w:sz w:val="18"/>
            <w:szCs w:val="18"/>
            <w:u w:val="single"/>
            <w:lang w:eastAsia="pl-PL"/>
          </w:rPr>
          <w:t>zalecenia ECDC</w:t>
        </w:r>
      </w:hyperlink>
    </w:p>
    <w:p w:rsidR="007C7CAF" w:rsidRPr="00EC46DE" w:rsidRDefault="007C7CAF">
      <w:pPr>
        <w:rPr>
          <w:sz w:val="28"/>
          <w:szCs w:val="28"/>
        </w:rPr>
      </w:pPr>
    </w:p>
    <w:sectPr w:rsidR="007C7CAF" w:rsidRPr="00EC46DE" w:rsidSect="00EC46DE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6313"/>
    <w:multiLevelType w:val="multilevel"/>
    <w:tmpl w:val="470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E"/>
    <w:rsid w:val="007C7CAF"/>
    <w:rsid w:val="00B13CAF"/>
    <w:rsid w:val="00B37DE2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7E8"/>
  <w15:chartTrackingRefBased/>
  <w15:docId w15:val="{A96ADE61-8A7B-4D50-A58A-5695392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28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12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ekcje.mp.pl/covid19/covid19-kompendium/227794,zalecenia-w-zakresie-zdrowia-publicznego-w-ue-dotyczace-postepowania-z-osobami-w-tym-pracownikami-ochrony-zdrowia-ktore-mialy-kontakt-z-zakazonymi-wirusem-powodujacym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</cp:revision>
  <cp:lastPrinted>2020-03-13T07:17:00Z</cp:lastPrinted>
  <dcterms:created xsi:type="dcterms:W3CDTF">2020-03-13T06:58:00Z</dcterms:created>
  <dcterms:modified xsi:type="dcterms:W3CDTF">2020-03-13T11:19:00Z</dcterms:modified>
</cp:coreProperties>
</file>